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9179" w14:textId="4E3488BA" w:rsidR="0088436C" w:rsidRDefault="0088436C" w:rsidP="004B3E2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88436C" w:rsidRPr="0088436C" w14:paraId="59005548"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ABABD63"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Tema</w:t>
            </w:r>
            <w:r w:rsidRPr="0088436C">
              <w:rPr>
                <w:rFonts w:ascii="Verdana" w:hAnsi="Verdana" w:cs="Segoe UI"/>
                <w:sz w:val="22"/>
                <w:szCs w:val="22"/>
                <w:lang w:eastAsia="es-ES_tradnl"/>
              </w:rPr>
              <w:t> </w:t>
            </w:r>
          </w:p>
        </w:tc>
      </w:tr>
      <w:tr w:rsidR="0088436C" w:rsidRPr="0088436C" w14:paraId="016EEBC2"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CD48E95" w14:textId="17D52BD4" w:rsidR="0088436C" w:rsidRPr="0088436C" w:rsidRDefault="0088436C" w:rsidP="0088436C">
            <w:pPr>
              <w:jc w:val="both"/>
              <w:textAlignment w:val="baseline"/>
              <w:rPr>
                <w:rFonts w:ascii="Segoe UI" w:hAnsi="Segoe UI" w:cs="Segoe UI"/>
                <w:sz w:val="18"/>
                <w:szCs w:val="18"/>
                <w:lang w:eastAsia="es-ES_tradnl"/>
              </w:rPr>
            </w:pPr>
            <w:r>
              <w:rPr>
                <w:rFonts w:ascii="Verdana" w:hAnsi="Verdana" w:cs="Segoe UI"/>
                <w:sz w:val="22"/>
                <w:szCs w:val="22"/>
                <w:lang w:eastAsia="es-ES_tradnl"/>
              </w:rPr>
              <w:t>L</w:t>
            </w:r>
            <w:r w:rsidRPr="0088436C">
              <w:rPr>
                <w:rFonts w:ascii="Verdana" w:hAnsi="Verdana" w:cs="Segoe UI"/>
                <w:sz w:val="22"/>
                <w:szCs w:val="22"/>
                <w:lang w:eastAsia="es-ES_tradnl"/>
              </w:rPr>
              <w:t>egalidad de modificar cláusulas contractuales en materia de honorarios, costos judiciales y la contratación de terceros en jurisdicciones extranjer</w:t>
            </w:r>
            <w:r>
              <w:rPr>
                <w:rFonts w:ascii="Verdana" w:hAnsi="Verdana" w:cs="Segoe UI"/>
                <w:sz w:val="22"/>
                <w:szCs w:val="22"/>
                <w:lang w:eastAsia="es-ES_tradnl"/>
              </w:rPr>
              <w:t>as.</w:t>
            </w:r>
            <w:r w:rsidRPr="0088436C">
              <w:rPr>
                <w:rFonts w:ascii="Verdana" w:hAnsi="Verdana" w:cs="Segoe UI"/>
                <w:sz w:val="22"/>
                <w:szCs w:val="22"/>
                <w:lang w:eastAsia="es-ES_tradnl"/>
              </w:rPr>
              <w:t> </w:t>
            </w:r>
          </w:p>
        </w:tc>
      </w:tr>
      <w:tr w:rsidR="0088436C" w:rsidRPr="0088436C" w14:paraId="0695E648"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7572E3F"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CRM</w:t>
            </w:r>
            <w:r w:rsidRPr="0088436C">
              <w:rPr>
                <w:rFonts w:ascii="Verdana" w:hAnsi="Verdana" w:cs="Segoe UI"/>
                <w:sz w:val="22"/>
                <w:szCs w:val="22"/>
                <w:lang w:eastAsia="es-ES_tradnl"/>
              </w:rPr>
              <w:t> </w:t>
            </w:r>
          </w:p>
        </w:tc>
      </w:tr>
      <w:tr w:rsidR="0088436C" w:rsidRPr="0088436C" w14:paraId="5F8BA9A8"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FB00A65"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sz w:val="22"/>
                <w:szCs w:val="22"/>
                <w:lang w:eastAsia="es-ES_tradnl"/>
              </w:rPr>
              <w:t>43522 </w:t>
            </w:r>
          </w:p>
        </w:tc>
      </w:tr>
      <w:tr w:rsidR="0088436C" w:rsidRPr="0088436C" w14:paraId="55CD6A7B"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BF875D7"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Problema(s) jurídico(s)</w:t>
            </w:r>
            <w:r w:rsidRPr="0088436C">
              <w:rPr>
                <w:rFonts w:ascii="Verdana" w:hAnsi="Verdana" w:cs="Segoe UI"/>
                <w:sz w:val="22"/>
                <w:szCs w:val="22"/>
                <w:lang w:eastAsia="es-ES_tradnl"/>
              </w:rPr>
              <w:t> </w:t>
            </w:r>
          </w:p>
        </w:tc>
      </w:tr>
      <w:tr w:rsidR="0088436C" w:rsidRPr="0088436C" w14:paraId="39C039ED"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47AE56C" w14:textId="0ECFE54E"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¿Es jurídicamente viable modificar los términos de un contrato de mandato respecto a los honorarios y la prima de éxito, incluyendo la incorporación de nuevos pagos por costos judiciales o la contratación de terceros en el extranjero, sin incurrir en doble pago o afectar la legalidad del contrato vigente?</w:t>
            </w:r>
            <w:r>
              <w:rPr>
                <w:rFonts w:ascii="Verdana" w:hAnsi="Verdana" w:cs="Segoe UI"/>
                <w:sz w:val="22"/>
                <w:szCs w:val="22"/>
                <w:lang w:eastAsia="es-ES_tradnl"/>
              </w:rPr>
              <w:t xml:space="preserve">. </w:t>
            </w:r>
          </w:p>
        </w:tc>
      </w:tr>
      <w:tr w:rsidR="0088436C" w:rsidRPr="0088436C" w14:paraId="6F425902"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E7AFCD6"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Análisis jurídico</w:t>
            </w:r>
            <w:r w:rsidRPr="0088436C">
              <w:rPr>
                <w:rFonts w:ascii="Verdana" w:hAnsi="Verdana" w:cs="Segoe UI"/>
                <w:sz w:val="22"/>
                <w:szCs w:val="22"/>
                <w:lang w:eastAsia="es-ES_tradnl"/>
              </w:rPr>
              <w:t> </w:t>
            </w:r>
          </w:p>
        </w:tc>
      </w:tr>
      <w:tr w:rsidR="0088436C" w:rsidRPr="0088436C" w14:paraId="3BA8D3CC"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F5D9590"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Se parte del principio de autonomía de la voluntad como base del régimen contractual aplicable, matizado por principios constitucionales como la buena fe, la función administrativa y la gestión fiscal. Los contratos deben ejecutarse conforme al contenido pactado, su naturaleza jurídica y los efectos que se desprenden del mismo (artículos 1603 y 1622 del Código Civil). </w:t>
            </w:r>
          </w:p>
          <w:p w14:paraId="243FAEA0"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3A1AE686" w14:textId="589C969C" w:rsidR="0088436C" w:rsidRDefault="0088436C" w:rsidP="0088436C">
            <w:pPr>
              <w:jc w:val="both"/>
              <w:textAlignment w:val="baseline"/>
              <w:rPr>
                <w:rFonts w:ascii="Verdana" w:hAnsi="Verdana" w:cs="Segoe UI"/>
                <w:sz w:val="22"/>
                <w:szCs w:val="22"/>
                <w:lang w:eastAsia="es-ES_tradnl"/>
              </w:rPr>
            </w:pPr>
            <w:r w:rsidRPr="0088436C">
              <w:rPr>
                <w:rFonts w:ascii="Verdana" w:hAnsi="Verdana" w:cs="Segoe UI"/>
                <w:sz w:val="22"/>
                <w:szCs w:val="22"/>
                <w:lang w:eastAsia="es-ES_tradnl"/>
              </w:rPr>
              <w:t>En los contratos de prestación de servicios con representación, la ejecución implica un mandato con responsabilidad por parte del contratista, que puede incluir actuaciones tanto nacionales como internacionales, dependiendo de lo pactado y de la práctica contractual aceptada por ambas partes. </w:t>
            </w:r>
          </w:p>
          <w:p w14:paraId="0A4ABE22" w14:textId="77777777" w:rsidR="0088436C" w:rsidRPr="0088436C" w:rsidRDefault="0088436C" w:rsidP="0088436C">
            <w:pPr>
              <w:jc w:val="both"/>
              <w:textAlignment w:val="baseline"/>
              <w:rPr>
                <w:rFonts w:ascii="Segoe UI" w:hAnsi="Segoe UI" w:cs="Segoe UI"/>
                <w:sz w:val="18"/>
                <w:szCs w:val="18"/>
                <w:lang w:eastAsia="es-ES_tradnl"/>
              </w:rPr>
            </w:pPr>
          </w:p>
          <w:p w14:paraId="350A7793"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Las modificaciones contractuales son posibles, pero requieren una causa real, cierta, sobreviniente y no imputable a las partes. Estas deben estar justificadas y documentadas, sin alterar la esencia del negocio jurídico. Así lo ha señalado la jurisprudencia de la jurisdicción contencioso administrativa y constitucional (Sentencias C-300/12, C-609/12, Consejo de Estado </w:t>
            </w:r>
            <w:proofErr w:type="spellStart"/>
            <w:r w:rsidRPr="0088436C">
              <w:rPr>
                <w:rFonts w:ascii="Verdana" w:hAnsi="Verdana" w:cs="Segoe UI"/>
                <w:sz w:val="22"/>
                <w:szCs w:val="22"/>
                <w:lang w:eastAsia="es-ES_tradnl"/>
              </w:rPr>
              <w:t>Exp</w:t>
            </w:r>
            <w:proofErr w:type="spellEnd"/>
            <w:r w:rsidRPr="0088436C">
              <w:rPr>
                <w:rFonts w:ascii="Verdana" w:hAnsi="Verdana" w:cs="Segoe UI"/>
                <w:sz w:val="22"/>
                <w:szCs w:val="22"/>
                <w:lang w:eastAsia="es-ES_tradnl"/>
              </w:rPr>
              <w:t>. 25.642, 35268 y 36878). </w:t>
            </w:r>
          </w:p>
          <w:p w14:paraId="6D9A1485"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149BE4E5" w14:textId="1C162888"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Respecto a los honorarios, se reconoce la libertad para fijarlos por acuerdo entre las partes, debiendo basarse en estudios previos y referencias objetivas. La prima de éxito se entiende como un componente variable de los honorarios, asociado a resultados obtenidos, y no como una obligación separada. En cuanto a los costos judiciales, estos deben diferenciarse claramente en el contrato, y su pago adicional debe basarse en rubros no cubiertos previamente. </w:t>
            </w:r>
          </w:p>
        </w:tc>
      </w:tr>
      <w:tr w:rsidR="0088436C" w:rsidRPr="0088436C" w14:paraId="5411073E"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6D21233" w14:textId="77777777" w:rsidR="0088436C" w:rsidRPr="0088436C" w:rsidRDefault="0088436C" w:rsidP="0088436C">
            <w:pPr>
              <w:jc w:val="center"/>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Respuesta</w:t>
            </w:r>
            <w:r w:rsidRPr="0088436C">
              <w:rPr>
                <w:rFonts w:ascii="Verdana" w:hAnsi="Verdana" w:cs="Segoe UI"/>
                <w:sz w:val="22"/>
                <w:szCs w:val="22"/>
                <w:lang w:eastAsia="es-ES_tradnl"/>
              </w:rPr>
              <w:t> </w:t>
            </w:r>
          </w:p>
        </w:tc>
      </w:tr>
      <w:tr w:rsidR="0088436C" w:rsidRPr="0088436C" w14:paraId="0EF0E1E9" w14:textId="77777777" w:rsidTr="0088436C">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C4FB1C3"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08635053" w14:textId="322CC8A0"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1. Sobre la modificación del contrato y diferenciación de honorarios y prima de éxito</w:t>
            </w:r>
            <w:r>
              <w:rPr>
                <w:rFonts w:ascii="Verdana" w:hAnsi="Verdana" w:cs="Segoe UI"/>
                <w:b/>
                <w:bCs/>
                <w:sz w:val="22"/>
                <w:szCs w:val="22"/>
                <w:lang w:eastAsia="es-ES_tradnl"/>
              </w:rPr>
              <w:t xml:space="preserve">. </w:t>
            </w:r>
          </w:p>
          <w:p w14:paraId="650D2265"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Aptos" w:hAnsi="Aptos" w:cs="Segoe UI"/>
                <w:sz w:val="22"/>
                <w:szCs w:val="22"/>
                <w:lang w:eastAsia="es-ES_tradnl"/>
              </w:rPr>
              <w:t> </w:t>
            </w:r>
            <w:r w:rsidRPr="0088436C">
              <w:rPr>
                <w:rFonts w:ascii="Aptos" w:hAnsi="Aptos" w:cs="Segoe UI"/>
                <w:sz w:val="22"/>
                <w:szCs w:val="22"/>
                <w:lang w:eastAsia="es-ES_tradnl"/>
              </w:rPr>
              <w:br/>
            </w:r>
            <w:r w:rsidRPr="0088436C">
              <w:rPr>
                <w:rFonts w:ascii="Verdana" w:hAnsi="Verdana" w:cs="Segoe UI"/>
                <w:sz w:val="22"/>
                <w:szCs w:val="22"/>
                <w:lang w:eastAsia="es-ES_tradnl"/>
              </w:rPr>
              <w:t xml:space="preserve">Es jurídicamente posible en abstracto diferenciar entre honorarios fijos y prima de éxito sin incurrir en doble pago. Sin embargo, si el objeto ya se encuentra </w:t>
            </w:r>
            <w:r w:rsidRPr="0088436C">
              <w:rPr>
                <w:rFonts w:ascii="Verdana" w:hAnsi="Verdana" w:cs="Segoe UI"/>
                <w:sz w:val="22"/>
                <w:szCs w:val="22"/>
                <w:lang w:eastAsia="es-ES_tradnl"/>
              </w:rPr>
              <w:lastRenderedPageBreak/>
              <w:t>incluido en el contrato vigente, una modificación sin causa sobreviniente puede ser inválida y constituir un doble reconocimiento económico. </w:t>
            </w:r>
          </w:p>
          <w:p w14:paraId="43ED56E8"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032BD06F" w14:textId="314624C5"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2. Sobre el pago adicional de costos judiciales</w:t>
            </w:r>
            <w:r>
              <w:rPr>
                <w:rFonts w:ascii="Verdana" w:hAnsi="Verdana" w:cs="Segoe UI"/>
                <w:b/>
                <w:bCs/>
                <w:sz w:val="22"/>
                <w:szCs w:val="22"/>
                <w:lang w:eastAsia="es-ES_tradnl"/>
              </w:rPr>
              <w:t xml:space="preserve">. </w:t>
            </w:r>
          </w:p>
          <w:p w14:paraId="42E7F71C"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Aptos" w:hAnsi="Aptos" w:cs="Segoe UI"/>
                <w:sz w:val="22"/>
                <w:szCs w:val="22"/>
                <w:lang w:eastAsia="es-ES_tradnl"/>
              </w:rPr>
              <w:t> </w:t>
            </w:r>
            <w:r w:rsidRPr="0088436C">
              <w:rPr>
                <w:rFonts w:ascii="Aptos" w:hAnsi="Aptos" w:cs="Segoe UI"/>
                <w:sz w:val="22"/>
                <w:szCs w:val="22"/>
                <w:lang w:eastAsia="es-ES_tradnl"/>
              </w:rPr>
              <w:br/>
            </w:r>
            <w:r w:rsidRPr="0088436C">
              <w:rPr>
                <w:rFonts w:ascii="Verdana" w:hAnsi="Verdana" w:cs="Segoe UI"/>
                <w:sz w:val="22"/>
                <w:szCs w:val="22"/>
                <w:lang w:eastAsia="es-ES_tradnl"/>
              </w:rPr>
              <w:t>Honorarios y costos judiciales son conceptos distintos. No habría doble pago si se pactan adecuadamente. No obstante, si los costos están ya cubiertos por cláusulas contractuales existentes, un nuevo reconocimiento sería redundante e injustificado. </w:t>
            </w:r>
          </w:p>
          <w:p w14:paraId="57FFBD45"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090CF795" w14:textId="3745559F"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3. Sobre la contratación de un tercero en el extranjero</w:t>
            </w:r>
            <w:r>
              <w:rPr>
                <w:rFonts w:ascii="Verdana" w:hAnsi="Verdana" w:cs="Segoe UI"/>
                <w:b/>
                <w:bCs/>
                <w:sz w:val="22"/>
                <w:szCs w:val="22"/>
                <w:lang w:eastAsia="es-ES_tradnl"/>
              </w:rPr>
              <w:t xml:space="preserve">. </w:t>
            </w:r>
            <w:r w:rsidRPr="0088436C">
              <w:rPr>
                <w:rFonts w:ascii="Verdana" w:hAnsi="Verdana" w:cs="Segoe UI"/>
                <w:sz w:val="22"/>
                <w:szCs w:val="22"/>
                <w:lang w:eastAsia="es-ES_tradnl"/>
              </w:rPr>
              <w:t> </w:t>
            </w:r>
          </w:p>
          <w:p w14:paraId="5182B7BD"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Aptos" w:hAnsi="Aptos" w:cs="Segoe UI"/>
                <w:sz w:val="22"/>
                <w:szCs w:val="22"/>
                <w:lang w:eastAsia="es-ES_tradnl"/>
              </w:rPr>
              <w:t> </w:t>
            </w:r>
            <w:r w:rsidRPr="0088436C">
              <w:rPr>
                <w:rFonts w:ascii="Aptos" w:hAnsi="Aptos" w:cs="Segoe UI"/>
                <w:sz w:val="22"/>
                <w:szCs w:val="22"/>
                <w:lang w:eastAsia="es-ES_tradnl"/>
              </w:rPr>
              <w:br/>
            </w:r>
            <w:r w:rsidRPr="0088436C">
              <w:rPr>
                <w:rFonts w:ascii="Verdana" w:hAnsi="Verdana" w:cs="Segoe UI"/>
                <w:sz w:val="22"/>
                <w:szCs w:val="22"/>
                <w:lang w:eastAsia="es-ES_tradnl"/>
              </w:rPr>
              <w:t>La celebración de un nuevo contrato con otro proveedor en el exterior, sin terminar el contrato vigente, podría configurar incumplimiento contractual y generar controversias. Se recomienda primero exigir el cumplimiento del contrato vigente o proceder a su terminación anticipada. </w:t>
            </w:r>
          </w:p>
          <w:p w14:paraId="1ECFB8BC"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21EECD6E" w14:textId="4D6321D8"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4. Sobre el deterioro progresivo en el valor de las pretensiones</w:t>
            </w:r>
            <w:r>
              <w:rPr>
                <w:rFonts w:ascii="Verdana" w:hAnsi="Verdana" w:cs="Segoe UI"/>
                <w:b/>
                <w:bCs/>
                <w:sz w:val="22"/>
                <w:szCs w:val="22"/>
                <w:lang w:eastAsia="es-ES_tradnl"/>
              </w:rPr>
              <w:t xml:space="preserve">. </w:t>
            </w:r>
          </w:p>
          <w:p w14:paraId="614BB33A"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Aptos" w:hAnsi="Aptos" w:cs="Segoe UI"/>
                <w:sz w:val="22"/>
                <w:szCs w:val="22"/>
                <w:lang w:eastAsia="es-ES_tradnl"/>
              </w:rPr>
              <w:t> </w:t>
            </w:r>
            <w:r w:rsidRPr="0088436C">
              <w:rPr>
                <w:rFonts w:ascii="Aptos" w:hAnsi="Aptos" w:cs="Segoe UI"/>
                <w:sz w:val="22"/>
                <w:szCs w:val="22"/>
                <w:lang w:eastAsia="es-ES_tradnl"/>
              </w:rPr>
              <w:br/>
            </w:r>
            <w:r w:rsidRPr="0088436C">
              <w:rPr>
                <w:rFonts w:ascii="Verdana" w:hAnsi="Verdana" w:cs="Segoe UI"/>
                <w:sz w:val="22"/>
                <w:szCs w:val="22"/>
                <w:lang w:eastAsia="es-ES_tradnl"/>
              </w:rPr>
              <w:t>Tendría que evidenciarse un deterioro que afecte el valor exigible. Las decisiones judiciales suelen prever mecanismos de actualización como intereses moratorios. Se sugiere evaluar este aspecto junto al apoderado encargado del cobro. </w:t>
            </w:r>
          </w:p>
          <w:p w14:paraId="30278FBD" w14:textId="77777777"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sz w:val="22"/>
                <w:szCs w:val="22"/>
                <w:lang w:eastAsia="es-ES_tradnl"/>
              </w:rPr>
              <w:t> </w:t>
            </w:r>
          </w:p>
          <w:p w14:paraId="78C20D10" w14:textId="3CF52ACC" w:rsidR="0088436C" w:rsidRPr="0088436C" w:rsidRDefault="0088436C" w:rsidP="0088436C">
            <w:pPr>
              <w:jc w:val="both"/>
              <w:textAlignment w:val="baseline"/>
              <w:rPr>
                <w:rFonts w:ascii="Segoe UI" w:hAnsi="Segoe UI" w:cs="Segoe UI"/>
                <w:sz w:val="18"/>
                <w:szCs w:val="18"/>
                <w:lang w:eastAsia="es-ES_tradnl"/>
              </w:rPr>
            </w:pPr>
            <w:r w:rsidRPr="0088436C">
              <w:rPr>
                <w:rFonts w:ascii="Verdana" w:hAnsi="Verdana" w:cs="Segoe UI"/>
                <w:b/>
                <w:bCs/>
                <w:sz w:val="22"/>
                <w:szCs w:val="22"/>
                <w:lang w:eastAsia="es-ES_tradnl"/>
              </w:rPr>
              <w:t>5. Sobre las alternativas para continuar el cobro sin el contratista actual</w:t>
            </w:r>
            <w:r>
              <w:rPr>
                <w:rFonts w:ascii="Verdana" w:hAnsi="Verdana" w:cs="Segoe UI"/>
                <w:b/>
                <w:bCs/>
                <w:sz w:val="22"/>
                <w:szCs w:val="22"/>
                <w:lang w:eastAsia="es-ES_tradnl"/>
              </w:rPr>
              <w:t xml:space="preserve">. </w:t>
            </w:r>
            <w:r w:rsidRPr="0088436C">
              <w:rPr>
                <w:rFonts w:ascii="Verdana" w:hAnsi="Verdana" w:cs="Segoe UI"/>
                <w:sz w:val="22"/>
                <w:szCs w:val="22"/>
                <w:lang w:eastAsia="es-ES_tradnl"/>
              </w:rPr>
              <w:t> </w:t>
            </w:r>
          </w:p>
          <w:p w14:paraId="22ED916E" w14:textId="635C3087" w:rsidR="0088436C" w:rsidRPr="0088436C" w:rsidRDefault="0088436C" w:rsidP="0088436C">
            <w:pPr>
              <w:jc w:val="both"/>
              <w:textAlignment w:val="baseline"/>
              <w:rPr>
                <w:rFonts w:ascii="Segoe UI" w:hAnsi="Segoe UI" w:cs="Segoe UI"/>
                <w:sz w:val="18"/>
                <w:szCs w:val="18"/>
                <w:lang w:eastAsia="es-ES_tradnl"/>
              </w:rPr>
            </w:pPr>
            <w:r w:rsidRPr="0088436C">
              <w:rPr>
                <w:rFonts w:ascii="Aptos" w:hAnsi="Aptos" w:cs="Segoe UI"/>
                <w:sz w:val="22"/>
                <w:szCs w:val="22"/>
                <w:lang w:eastAsia="es-ES_tradnl"/>
              </w:rPr>
              <w:t> </w:t>
            </w:r>
            <w:r w:rsidRPr="0088436C">
              <w:rPr>
                <w:rFonts w:ascii="Aptos" w:hAnsi="Aptos" w:cs="Segoe UI"/>
                <w:sz w:val="22"/>
                <w:szCs w:val="22"/>
                <w:lang w:eastAsia="es-ES_tradnl"/>
              </w:rPr>
              <w:br/>
            </w:r>
            <w:r w:rsidRPr="0088436C">
              <w:rPr>
                <w:rFonts w:ascii="Verdana" w:hAnsi="Verdana" w:cs="Segoe UI"/>
                <w:sz w:val="22"/>
                <w:szCs w:val="22"/>
                <w:lang w:eastAsia="es-ES_tradnl"/>
              </w:rPr>
              <w:t>Es viable iniciar directamente el proceso ejecutivo en la jurisdicción extranjera si existe homologación sin efectos suspensivos. Sin embargo, esto requiere una terminación anticipada del contrato vigente y contar con personal o terceros con conocimiento legal del país correspondiente. </w:t>
            </w:r>
          </w:p>
        </w:tc>
      </w:tr>
    </w:tbl>
    <w:p w14:paraId="506E2322" w14:textId="77777777" w:rsidR="0088436C" w:rsidRDefault="0088436C" w:rsidP="004B3E2B"/>
    <w:p w14:paraId="0B73CD68" w14:textId="77777777" w:rsidR="0088436C" w:rsidRDefault="0088436C" w:rsidP="004B3E2B"/>
    <w:p w14:paraId="27FF804A" w14:textId="77777777" w:rsidR="004B3E2B" w:rsidRDefault="004B3E2B"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F93D" w14:textId="77777777" w:rsidR="003E03FB" w:rsidRDefault="003E03FB" w:rsidP="004B3E2B">
      <w:r>
        <w:separator/>
      </w:r>
    </w:p>
  </w:endnote>
  <w:endnote w:type="continuationSeparator" w:id="0">
    <w:p w14:paraId="597428C3" w14:textId="77777777" w:rsidR="003E03FB" w:rsidRDefault="003E03FB"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4D41" w14:textId="77777777" w:rsidR="003E03FB" w:rsidRDefault="003E03FB" w:rsidP="004B3E2B">
      <w:r>
        <w:separator/>
      </w:r>
    </w:p>
  </w:footnote>
  <w:footnote w:type="continuationSeparator" w:id="0">
    <w:p w14:paraId="4D6E925A" w14:textId="77777777" w:rsidR="003E03FB" w:rsidRDefault="003E03FB"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3E03FB"/>
    <w:rsid w:val="004B3E2B"/>
    <w:rsid w:val="006563FE"/>
    <w:rsid w:val="006A1B54"/>
    <w:rsid w:val="00884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EBA44CD-B79A-4732-9747-F19E1A15ED8F}"/>
</file>

<file path=customXml/itemProps2.xml><?xml version="1.0" encoding="utf-8"?>
<ds:datastoreItem xmlns:ds="http://schemas.openxmlformats.org/officeDocument/2006/customXml" ds:itemID="{90F58B9D-DC4B-4B24-9E69-9DB1FBAD8E05}"/>
</file>

<file path=customXml/itemProps3.xml><?xml version="1.0" encoding="utf-8"?>
<ds:datastoreItem xmlns:ds="http://schemas.openxmlformats.org/officeDocument/2006/customXml" ds:itemID="{9974DBFE-33DA-43C8-A61C-70504AC82863}"/>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2025-12-01T14:44:00Z</dcterms:created>
  <dcterms:modified xsi:type="dcterms:W3CDTF">2025-12-01T14:44:00Z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